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034" w:rsidRPr="005A0034" w:rsidRDefault="00121BFD" w:rsidP="005A0034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034" w:rsidRPr="005A0034" w:rsidRDefault="005A0034" w:rsidP="005A0034">
      <w:pPr>
        <w:spacing w:line="336" w:lineRule="auto"/>
        <w:ind w:right="-554"/>
        <w:rPr>
          <w:rFonts w:ascii="Arial" w:hAnsi="Arial" w:cs="Arial"/>
          <w:b/>
          <w:sz w:val="24"/>
          <w:szCs w:val="24"/>
          <w:lang w:val="es-ES"/>
        </w:rPr>
      </w:pPr>
      <w:r w:rsidRPr="005A0034">
        <w:rPr>
          <w:rFonts w:ascii="Arial" w:hAnsi="Arial"/>
          <w:b/>
          <w:sz w:val="24"/>
          <w:szCs w:val="24"/>
          <w:lang w:val="es-ES"/>
        </w:rPr>
        <w:t xml:space="preserve">Renishaw amplía la gama de </w:t>
      </w:r>
      <w:proofErr w:type="spellStart"/>
      <w:r w:rsidRPr="005A0034">
        <w:rPr>
          <w:rFonts w:ascii="Arial" w:hAnsi="Arial"/>
          <w:b/>
          <w:sz w:val="24"/>
          <w:szCs w:val="24"/>
          <w:lang w:val="es-ES"/>
        </w:rPr>
        <w:t>encóderes</w:t>
      </w:r>
      <w:proofErr w:type="spellEnd"/>
      <w:r w:rsidRPr="005A0034">
        <w:rPr>
          <w:rFonts w:ascii="Arial" w:hAnsi="Arial"/>
          <w:b/>
          <w:sz w:val="24"/>
          <w:szCs w:val="24"/>
          <w:lang w:val="es-ES"/>
        </w:rPr>
        <w:t xml:space="preserve"> con Seguridad funcional</w:t>
      </w:r>
    </w:p>
    <w:p w:rsidR="005A0034" w:rsidRPr="005A0034" w:rsidRDefault="005A0034" w:rsidP="005A0034">
      <w:pPr>
        <w:spacing w:line="336" w:lineRule="auto"/>
        <w:ind w:right="-554"/>
        <w:rPr>
          <w:rFonts w:ascii="Arial" w:hAnsi="Arial" w:cs="Arial"/>
          <w:lang w:val="es-ES"/>
        </w:rPr>
      </w:pPr>
      <w:r w:rsidRPr="005A0034">
        <w:rPr>
          <w:rFonts w:ascii="Arial" w:hAnsi="Arial"/>
          <w:lang w:val="es-ES"/>
        </w:rPr>
        <w:t xml:space="preserve">Renishaw, la empresa tecnológica internacional de ingeniería, amplía su cartera de </w:t>
      </w:r>
      <w:proofErr w:type="spellStart"/>
      <w:r w:rsidRPr="005A0034">
        <w:rPr>
          <w:rFonts w:ascii="Arial" w:hAnsi="Arial"/>
          <w:lang w:val="es-ES"/>
        </w:rPr>
        <w:t>encóderes</w:t>
      </w:r>
      <w:proofErr w:type="spellEnd"/>
      <w:r w:rsidRPr="005A0034">
        <w:rPr>
          <w:rFonts w:ascii="Arial" w:hAnsi="Arial"/>
          <w:lang w:val="es-ES"/>
        </w:rPr>
        <w:t xml:space="preserve"> con seguridad funcional (FS) con la introducción de dos nuevos </w:t>
      </w:r>
      <w:proofErr w:type="spellStart"/>
      <w:r w:rsidRPr="005A0034">
        <w:rPr>
          <w:rFonts w:ascii="Arial" w:hAnsi="Arial"/>
          <w:lang w:val="es-ES"/>
        </w:rPr>
        <w:t>encóderes</w:t>
      </w:r>
      <w:proofErr w:type="spellEnd"/>
      <w:r w:rsidRPr="005A0034">
        <w:rPr>
          <w:rFonts w:ascii="Arial" w:hAnsi="Arial"/>
          <w:lang w:val="es-ES"/>
        </w:rPr>
        <w:t xml:space="preserve"> para aplicaciones lineales y rotatorias: RESOLUTE™ FS con el sistema de </w:t>
      </w:r>
      <w:proofErr w:type="spellStart"/>
      <w:r w:rsidRPr="005A0034">
        <w:rPr>
          <w:rFonts w:ascii="Arial" w:hAnsi="Arial"/>
          <w:lang w:val="es-ES"/>
        </w:rPr>
        <w:t>encóder</w:t>
      </w:r>
      <w:proofErr w:type="spellEnd"/>
      <w:r w:rsidRPr="005A0034">
        <w:rPr>
          <w:rFonts w:ascii="Arial" w:hAnsi="Arial"/>
          <w:lang w:val="es-ES"/>
        </w:rPr>
        <w:t xml:space="preserve"> óptico abierto absoluto </w:t>
      </w:r>
      <w:proofErr w:type="spellStart"/>
      <w:r w:rsidRPr="005A0034">
        <w:rPr>
          <w:rFonts w:ascii="Arial" w:hAnsi="Arial"/>
          <w:lang w:val="es-ES"/>
        </w:rPr>
        <w:t>BiSS</w:t>
      </w:r>
      <w:proofErr w:type="spellEnd"/>
      <w:r w:rsidRPr="005A0034">
        <w:rPr>
          <w:rFonts w:ascii="Arial" w:hAnsi="Arial"/>
          <w:lang w:val="es-ES"/>
        </w:rPr>
        <w:t xml:space="preserve">® Safety y el sistema de </w:t>
      </w:r>
      <w:proofErr w:type="spellStart"/>
      <w:r w:rsidRPr="005A0034">
        <w:rPr>
          <w:rFonts w:ascii="Arial" w:hAnsi="Arial"/>
          <w:lang w:val="es-ES"/>
        </w:rPr>
        <w:t>encóder</w:t>
      </w:r>
      <w:proofErr w:type="spellEnd"/>
      <w:r w:rsidRPr="005A0034">
        <w:rPr>
          <w:rFonts w:ascii="Arial" w:hAnsi="Arial"/>
          <w:lang w:val="es-ES"/>
        </w:rPr>
        <w:t xml:space="preserve"> óptico abierto incremental </w:t>
      </w:r>
      <w:proofErr w:type="spellStart"/>
      <w:r w:rsidRPr="005A0034">
        <w:rPr>
          <w:rFonts w:ascii="Arial" w:hAnsi="Arial"/>
          <w:lang w:val="es-ES"/>
        </w:rPr>
        <w:t>TONiC</w:t>
      </w:r>
      <w:proofErr w:type="spellEnd"/>
      <w:r w:rsidRPr="005A0034">
        <w:rPr>
          <w:rFonts w:ascii="Arial" w:hAnsi="Arial"/>
          <w:lang w:val="es-ES"/>
        </w:rPr>
        <w:t>™ FS.</w:t>
      </w:r>
    </w:p>
    <w:p w:rsidR="005A0034" w:rsidRPr="005A0034" w:rsidRDefault="005A0034" w:rsidP="005A0034">
      <w:pPr>
        <w:spacing w:line="336" w:lineRule="auto"/>
        <w:ind w:right="-554"/>
        <w:rPr>
          <w:rFonts w:ascii="Arial" w:hAnsi="Arial" w:cs="Arial"/>
          <w:lang w:val="es-ES"/>
        </w:rPr>
      </w:pPr>
    </w:p>
    <w:p w:rsidR="005A0034" w:rsidRPr="005A0034" w:rsidRDefault="005A0034" w:rsidP="005A0034">
      <w:pPr>
        <w:spacing w:line="336" w:lineRule="auto"/>
        <w:ind w:right="-554"/>
        <w:rPr>
          <w:rFonts w:ascii="Arial" w:hAnsi="Arial" w:cs="Arial"/>
          <w:lang w:val="es-ES"/>
        </w:rPr>
      </w:pPr>
      <w:r w:rsidRPr="005A0034">
        <w:rPr>
          <w:rFonts w:ascii="Arial" w:hAnsi="Arial"/>
          <w:lang w:val="es-ES"/>
        </w:rPr>
        <w:t xml:space="preserve">El </w:t>
      </w:r>
      <w:proofErr w:type="spellStart"/>
      <w:r w:rsidRPr="005A0034">
        <w:rPr>
          <w:rFonts w:ascii="Arial" w:hAnsi="Arial"/>
          <w:lang w:val="es-ES"/>
        </w:rPr>
        <w:t>encóder</w:t>
      </w:r>
      <w:proofErr w:type="spellEnd"/>
      <w:r w:rsidRPr="005A0034">
        <w:rPr>
          <w:rFonts w:ascii="Arial" w:hAnsi="Arial"/>
          <w:lang w:val="es-ES"/>
        </w:rPr>
        <w:t xml:space="preserve"> absoluto óptico con Seguridad funcional RESOLUTE FS se basa en el diseño de la gama galardonada RESOLUTE, con elementos rediseñados para cumplir los estándares de seguridad FS.</w:t>
      </w:r>
    </w:p>
    <w:p w:rsidR="005A0034" w:rsidRPr="005A0034" w:rsidRDefault="005A0034" w:rsidP="005A0034">
      <w:pPr>
        <w:spacing w:line="336" w:lineRule="auto"/>
        <w:ind w:right="-554"/>
        <w:rPr>
          <w:rFonts w:ascii="Arial" w:hAnsi="Arial" w:cs="Arial"/>
          <w:lang w:val="es-ES"/>
        </w:rPr>
      </w:pPr>
      <w:r w:rsidRPr="005A0034">
        <w:rPr>
          <w:rFonts w:ascii="Arial" w:hAnsi="Arial"/>
          <w:lang w:val="es-ES"/>
        </w:rPr>
        <w:t xml:space="preserve">El </w:t>
      </w:r>
      <w:proofErr w:type="spellStart"/>
      <w:r w:rsidRPr="005A0034">
        <w:rPr>
          <w:rFonts w:ascii="Arial" w:hAnsi="Arial"/>
          <w:lang w:val="es-ES"/>
        </w:rPr>
        <w:t>encóder</w:t>
      </w:r>
      <w:proofErr w:type="spellEnd"/>
      <w:r w:rsidRPr="005A0034">
        <w:rPr>
          <w:rFonts w:ascii="Arial" w:hAnsi="Arial"/>
          <w:lang w:val="es-ES"/>
        </w:rPr>
        <w:t xml:space="preserve"> óptico con Seguridad funcional </w:t>
      </w:r>
      <w:proofErr w:type="spellStart"/>
      <w:r w:rsidRPr="005A0034">
        <w:rPr>
          <w:rFonts w:ascii="Arial" w:hAnsi="Arial"/>
          <w:lang w:val="es-ES"/>
        </w:rPr>
        <w:t>TONiC</w:t>
      </w:r>
      <w:proofErr w:type="spellEnd"/>
      <w:r w:rsidRPr="005A0034">
        <w:rPr>
          <w:rFonts w:ascii="Arial" w:hAnsi="Arial"/>
          <w:lang w:val="es-ES"/>
        </w:rPr>
        <w:t xml:space="preserve"> FS combina el cumplimiento total de FS con un rendimiento metrológico excepcional, la máxima fiabilidad y todas las ventajas de la gama de </w:t>
      </w:r>
      <w:proofErr w:type="spellStart"/>
      <w:r w:rsidRPr="005A0034">
        <w:rPr>
          <w:rFonts w:ascii="Arial" w:hAnsi="Arial"/>
          <w:lang w:val="es-ES"/>
        </w:rPr>
        <w:t>encóderes</w:t>
      </w:r>
      <w:proofErr w:type="spellEnd"/>
      <w:r w:rsidRPr="005A0034">
        <w:rPr>
          <w:rFonts w:ascii="Arial" w:hAnsi="Arial"/>
          <w:lang w:val="es-ES"/>
        </w:rPr>
        <w:t xml:space="preserve"> establecida </w:t>
      </w:r>
      <w:proofErr w:type="spellStart"/>
      <w:r w:rsidRPr="005A0034">
        <w:rPr>
          <w:rFonts w:ascii="Arial" w:hAnsi="Arial"/>
          <w:lang w:val="es-ES"/>
        </w:rPr>
        <w:t>TONiC</w:t>
      </w:r>
      <w:proofErr w:type="spellEnd"/>
      <w:r w:rsidRPr="005A0034">
        <w:rPr>
          <w:rFonts w:ascii="Arial" w:hAnsi="Arial"/>
          <w:lang w:val="es-ES"/>
        </w:rPr>
        <w:t>.</w:t>
      </w:r>
    </w:p>
    <w:p w:rsidR="005A0034" w:rsidRPr="005A0034" w:rsidRDefault="005A0034" w:rsidP="005A0034">
      <w:pPr>
        <w:spacing w:line="336" w:lineRule="auto"/>
        <w:ind w:right="-554"/>
        <w:rPr>
          <w:rFonts w:ascii="Arial" w:hAnsi="Arial" w:cs="Arial"/>
          <w:lang w:val="es-ES"/>
        </w:rPr>
      </w:pPr>
      <w:r w:rsidRPr="005A0034">
        <w:rPr>
          <w:rFonts w:ascii="Arial" w:hAnsi="Arial"/>
          <w:lang w:val="es-ES"/>
        </w:rPr>
        <w:t xml:space="preserve">Ambos </w:t>
      </w:r>
      <w:proofErr w:type="spellStart"/>
      <w:r w:rsidRPr="005A0034">
        <w:rPr>
          <w:rFonts w:ascii="Arial" w:hAnsi="Arial"/>
          <w:lang w:val="es-ES"/>
        </w:rPr>
        <w:t>encóderes</w:t>
      </w:r>
      <w:proofErr w:type="spellEnd"/>
      <w:r w:rsidRPr="005A0034">
        <w:rPr>
          <w:rFonts w:ascii="Arial" w:hAnsi="Arial"/>
          <w:lang w:val="es-ES"/>
        </w:rPr>
        <w:t xml:space="preserve">, RESOLUTE FS </w:t>
      </w:r>
      <w:proofErr w:type="spellStart"/>
      <w:r w:rsidRPr="005A0034">
        <w:rPr>
          <w:rFonts w:ascii="Arial" w:hAnsi="Arial"/>
          <w:lang w:val="es-ES"/>
        </w:rPr>
        <w:t>BiSS</w:t>
      </w:r>
      <w:proofErr w:type="spellEnd"/>
      <w:r w:rsidRPr="005A0034">
        <w:rPr>
          <w:rFonts w:ascii="Arial" w:hAnsi="Arial"/>
          <w:lang w:val="es-ES"/>
        </w:rPr>
        <w:t xml:space="preserve"> Safety y </w:t>
      </w:r>
      <w:proofErr w:type="spellStart"/>
      <w:r w:rsidRPr="005A0034">
        <w:rPr>
          <w:rFonts w:ascii="Arial" w:hAnsi="Arial"/>
          <w:lang w:val="es-ES"/>
        </w:rPr>
        <w:t>TONiC</w:t>
      </w:r>
      <w:proofErr w:type="spellEnd"/>
      <w:r w:rsidRPr="005A0034">
        <w:rPr>
          <w:rFonts w:ascii="Arial" w:hAnsi="Arial"/>
          <w:lang w:val="es-ES"/>
        </w:rPr>
        <w:t xml:space="preserve"> FS cuentan con la certificación ISO 13849 Categoría 3 </w:t>
      </w:r>
      <w:proofErr w:type="spellStart"/>
      <w:r w:rsidRPr="005A0034">
        <w:rPr>
          <w:rFonts w:ascii="Arial" w:hAnsi="Arial"/>
          <w:lang w:val="es-ES"/>
        </w:rPr>
        <w:t>PLd</w:t>
      </w:r>
      <w:proofErr w:type="spellEnd"/>
      <w:r w:rsidRPr="005A0034">
        <w:rPr>
          <w:rFonts w:ascii="Arial" w:hAnsi="Arial"/>
          <w:lang w:val="es-ES"/>
        </w:rPr>
        <w:t>, IEC 61508 SIL2 e IEC 61800-5-2 SIL2.</w:t>
      </w:r>
    </w:p>
    <w:p w:rsidR="005A0034" w:rsidRPr="005A0034" w:rsidRDefault="005A0034" w:rsidP="005A0034">
      <w:pPr>
        <w:spacing w:line="336" w:lineRule="auto"/>
        <w:ind w:right="-554"/>
        <w:rPr>
          <w:rFonts w:ascii="Arial" w:hAnsi="Arial" w:cs="Arial"/>
          <w:lang w:val="es-ES"/>
        </w:rPr>
      </w:pPr>
    </w:p>
    <w:p w:rsidR="005A0034" w:rsidRPr="005A0034" w:rsidRDefault="005A0034" w:rsidP="005A0034">
      <w:pPr>
        <w:spacing w:line="336" w:lineRule="auto"/>
        <w:ind w:right="-554"/>
        <w:rPr>
          <w:rFonts w:ascii="Arial" w:hAnsi="Arial" w:cs="Arial"/>
          <w:lang w:val="es-ES"/>
        </w:rPr>
      </w:pPr>
      <w:r w:rsidRPr="005A0034">
        <w:rPr>
          <w:rFonts w:ascii="Arial" w:hAnsi="Arial"/>
          <w:lang w:val="es-ES"/>
        </w:rPr>
        <w:t xml:space="preserve">La certificación FS total es necesaria para garantizar el uso seguro de funciones como paradas de seguridad 1 y 2, parada de funcionamiento seguro (SOS) y velocidad de seguridad limitada (SLS), que requieren información del </w:t>
      </w:r>
      <w:proofErr w:type="spellStart"/>
      <w:r w:rsidRPr="005A0034">
        <w:rPr>
          <w:rFonts w:ascii="Arial" w:hAnsi="Arial"/>
          <w:lang w:val="es-ES"/>
        </w:rPr>
        <w:t>encóder</w:t>
      </w:r>
      <w:proofErr w:type="spellEnd"/>
      <w:r w:rsidRPr="005A0034">
        <w:rPr>
          <w:rFonts w:ascii="Arial" w:hAnsi="Arial"/>
          <w:lang w:val="es-ES"/>
        </w:rPr>
        <w:t xml:space="preserve"> para funcionar con seguridad. Los </w:t>
      </w:r>
      <w:proofErr w:type="spellStart"/>
      <w:r w:rsidRPr="005A0034">
        <w:rPr>
          <w:rFonts w:ascii="Arial" w:hAnsi="Arial"/>
          <w:lang w:val="es-ES"/>
        </w:rPr>
        <w:t>encóderes</w:t>
      </w:r>
      <w:proofErr w:type="spellEnd"/>
      <w:r w:rsidRPr="005A0034">
        <w:rPr>
          <w:rFonts w:ascii="Arial" w:hAnsi="Arial"/>
          <w:lang w:val="es-ES"/>
        </w:rPr>
        <w:t xml:space="preserve"> RESOLUTE FS son compatibles con el protocolo abierto de comunicaciones serie </w:t>
      </w:r>
      <w:proofErr w:type="spellStart"/>
      <w:r w:rsidRPr="005A0034">
        <w:rPr>
          <w:rFonts w:ascii="Arial" w:hAnsi="Arial"/>
          <w:lang w:val="es-ES"/>
        </w:rPr>
        <w:t>BiSS</w:t>
      </w:r>
      <w:proofErr w:type="spellEnd"/>
      <w:r w:rsidRPr="005A0034">
        <w:rPr>
          <w:rFonts w:ascii="Arial" w:hAnsi="Arial"/>
          <w:lang w:val="es-ES"/>
        </w:rPr>
        <w:t xml:space="preserve"> Safety y Siemens’ Drive-</w:t>
      </w:r>
      <w:proofErr w:type="spellStart"/>
      <w:r w:rsidRPr="005A0034">
        <w:rPr>
          <w:rFonts w:ascii="Arial" w:hAnsi="Arial"/>
          <w:lang w:val="es-ES"/>
        </w:rPr>
        <w:t>CLiQ</w:t>
      </w:r>
      <w:proofErr w:type="spellEnd"/>
      <w:r w:rsidRPr="005A0034">
        <w:rPr>
          <w:rFonts w:ascii="Arial" w:hAnsi="Arial"/>
          <w:lang w:val="es-ES"/>
        </w:rPr>
        <w:t xml:space="preserve">. Los </w:t>
      </w:r>
      <w:proofErr w:type="spellStart"/>
      <w:r w:rsidRPr="005A0034">
        <w:rPr>
          <w:rFonts w:ascii="Arial" w:hAnsi="Arial"/>
          <w:lang w:val="es-ES"/>
        </w:rPr>
        <w:t>encóderes</w:t>
      </w:r>
      <w:proofErr w:type="spellEnd"/>
      <w:r w:rsidRPr="005A0034">
        <w:rPr>
          <w:rFonts w:ascii="Arial" w:hAnsi="Arial"/>
          <w:lang w:val="es-ES"/>
        </w:rPr>
        <w:t xml:space="preserve"> </w:t>
      </w:r>
      <w:proofErr w:type="spellStart"/>
      <w:r w:rsidRPr="005A0034">
        <w:rPr>
          <w:rFonts w:ascii="Arial" w:hAnsi="Arial"/>
          <w:lang w:val="es-ES"/>
        </w:rPr>
        <w:t>TONiC</w:t>
      </w:r>
      <w:proofErr w:type="spellEnd"/>
      <w:r w:rsidRPr="005A0034">
        <w:rPr>
          <w:rFonts w:ascii="Arial" w:hAnsi="Arial"/>
          <w:lang w:val="es-ES"/>
        </w:rPr>
        <w:t xml:space="preserve"> FS disponen de las opciones de interfaz analógica </w:t>
      </w:r>
      <w:proofErr w:type="spellStart"/>
      <w:r w:rsidRPr="005A0034">
        <w:rPr>
          <w:rFonts w:ascii="Arial" w:hAnsi="Arial"/>
          <w:lang w:val="es-ES"/>
        </w:rPr>
        <w:t>TONiC</w:t>
      </w:r>
      <w:proofErr w:type="spellEnd"/>
      <w:r w:rsidRPr="005A0034">
        <w:rPr>
          <w:rFonts w:ascii="Arial" w:hAnsi="Arial"/>
          <w:lang w:val="es-ES"/>
        </w:rPr>
        <w:t xml:space="preserve"> Ti-000 y Dual Output (DOP).</w:t>
      </w:r>
    </w:p>
    <w:p w:rsidR="005A0034" w:rsidRPr="005A0034" w:rsidRDefault="005A0034" w:rsidP="005A0034">
      <w:pPr>
        <w:spacing w:before="120" w:after="120" w:line="336" w:lineRule="auto"/>
        <w:ind w:right="-556"/>
        <w:rPr>
          <w:rFonts w:ascii="Arial" w:hAnsi="Arial" w:cs="Arial"/>
          <w:b/>
          <w:sz w:val="22"/>
          <w:szCs w:val="22"/>
          <w:lang w:val="es-ES"/>
        </w:rPr>
      </w:pPr>
      <w:r w:rsidRPr="005A0034">
        <w:rPr>
          <w:rFonts w:ascii="Arial" w:hAnsi="Arial"/>
          <w:b/>
          <w:sz w:val="22"/>
          <w:szCs w:val="22"/>
          <w:lang w:val="es-ES"/>
        </w:rPr>
        <w:t xml:space="preserve">Acerca de los </w:t>
      </w:r>
      <w:proofErr w:type="spellStart"/>
      <w:r w:rsidRPr="005A0034">
        <w:rPr>
          <w:rFonts w:ascii="Arial" w:hAnsi="Arial"/>
          <w:b/>
          <w:sz w:val="22"/>
          <w:szCs w:val="22"/>
          <w:lang w:val="es-ES"/>
        </w:rPr>
        <w:t>encóderes</w:t>
      </w:r>
      <w:proofErr w:type="spellEnd"/>
      <w:r w:rsidRPr="005A0034">
        <w:rPr>
          <w:rFonts w:ascii="Arial" w:hAnsi="Arial"/>
          <w:b/>
          <w:sz w:val="22"/>
          <w:szCs w:val="22"/>
          <w:lang w:val="es-ES"/>
        </w:rPr>
        <w:t xml:space="preserve"> RESOLUTE</w:t>
      </w:r>
    </w:p>
    <w:p w:rsidR="005A0034" w:rsidRPr="005A0034" w:rsidRDefault="005A0034" w:rsidP="005A0034">
      <w:pPr>
        <w:spacing w:line="336" w:lineRule="auto"/>
        <w:ind w:right="-554"/>
        <w:rPr>
          <w:rFonts w:ascii="Arial" w:hAnsi="Arial" w:cs="Arial"/>
          <w:lang w:val="es-ES"/>
        </w:rPr>
      </w:pPr>
      <w:r w:rsidRPr="005A0034">
        <w:rPr>
          <w:rFonts w:ascii="Arial" w:hAnsi="Arial"/>
          <w:lang w:val="es-ES"/>
        </w:rPr>
        <w:t xml:space="preserve">El </w:t>
      </w:r>
      <w:proofErr w:type="spellStart"/>
      <w:r w:rsidRPr="005A0034">
        <w:rPr>
          <w:rFonts w:ascii="Arial" w:hAnsi="Arial"/>
          <w:lang w:val="es-ES"/>
        </w:rPr>
        <w:t>encóder</w:t>
      </w:r>
      <w:proofErr w:type="spellEnd"/>
      <w:r w:rsidRPr="005A0034">
        <w:rPr>
          <w:rFonts w:ascii="Arial" w:hAnsi="Arial"/>
          <w:lang w:val="es-ES"/>
        </w:rPr>
        <w:t xml:space="preserve"> RESOLUTE de Renishaw es el primer </w:t>
      </w:r>
      <w:proofErr w:type="spellStart"/>
      <w:r w:rsidRPr="005A0034">
        <w:rPr>
          <w:rFonts w:ascii="Arial" w:hAnsi="Arial"/>
          <w:lang w:val="es-ES"/>
        </w:rPr>
        <w:t>encóder</w:t>
      </w:r>
      <w:proofErr w:type="spellEnd"/>
      <w:r w:rsidRPr="005A0034">
        <w:rPr>
          <w:rFonts w:ascii="Arial" w:hAnsi="Arial"/>
          <w:lang w:val="es-ES"/>
        </w:rPr>
        <w:t xml:space="preserve"> óptico absoluto sobre banda del mundo, con una resolución de hasta 1 nanómetro, máxima fiabilidad a largo plazo, funcionamiento inmediato tras la conexión, sin retorno a referencia, y rendimiento a alta velocidad hasta 100 m/s. </w:t>
      </w:r>
    </w:p>
    <w:p w:rsidR="005A0034" w:rsidRPr="005A0034" w:rsidRDefault="005A0034" w:rsidP="005A0034">
      <w:pPr>
        <w:spacing w:line="336" w:lineRule="auto"/>
        <w:ind w:right="-554"/>
        <w:rPr>
          <w:rFonts w:ascii="Arial" w:hAnsi="Arial" w:cs="Arial"/>
          <w:lang w:val="es-ES"/>
        </w:rPr>
      </w:pPr>
    </w:p>
    <w:p w:rsidR="005A0034" w:rsidRPr="005A0034" w:rsidRDefault="005A0034" w:rsidP="005A0034">
      <w:pPr>
        <w:spacing w:line="336" w:lineRule="auto"/>
        <w:ind w:right="-554"/>
        <w:rPr>
          <w:rFonts w:ascii="Arial" w:hAnsi="Arial" w:cs="Arial"/>
          <w:lang w:val="es-ES"/>
        </w:rPr>
      </w:pPr>
      <w:r w:rsidRPr="005A0034">
        <w:rPr>
          <w:rFonts w:ascii="Arial" w:hAnsi="Arial"/>
          <w:lang w:val="es-ES"/>
        </w:rPr>
        <w:t xml:space="preserve">La serie RESOLUTE es idónea para aplicaciones de control de movimiento avanzadas, ya que permite un control de velocidad más suave con Error </w:t>
      </w:r>
      <w:proofErr w:type="spellStart"/>
      <w:r w:rsidRPr="005A0034">
        <w:rPr>
          <w:rFonts w:ascii="Arial" w:hAnsi="Arial"/>
          <w:lang w:val="es-ES"/>
        </w:rPr>
        <w:t>subdivisional</w:t>
      </w:r>
      <w:proofErr w:type="spellEnd"/>
      <w:r w:rsidRPr="005A0034">
        <w:rPr>
          <w:rFonts w:ascii="Arial" w:hAnsi="Arial"/>
          <w:lang w:val="es-ES"/>
        </w:rPr>
        <w:t xml:space="preserve"> </w:t>
      </w:r>
      <w:proofErr w:type="spellStart"/>
      <w:r w:rsidRPr="005A0034">
        <w:rPr>
          <w:rFonts w:ascii="Arial" w:hAnsi="Arial"/>
          <w:lang w:val="es-ES"/>
        </w:rPr>
        <w:t>ultrabajo</w:t>
      </w:r>
      <w:proofErr w:type="spellEnd"/>
      <w:r w:rsidRPr="005A0034">
        <w:rPr>
          <w:rFonts w:ascii="Arial" w:hAnsi="Arial"/>
          <w:lang w:val="es-ES"/>
        </w:rPr>
        <w:t xml:space="preserve"> (SDE) de &lt;±40 nm y una excelente estabilidad de posición con fluctuación (interferencia) de &lt; 10 nm RMS. Las ventajas de los </w:t>
      </w:r>
      <w:proofErr w:type="spellStart"/>
      <w:r w:rsidRPr="005A0034">
        <w:rPr>
          <w:rFonts w:ascii="Arial" w:hAnsi="Arial"/>
          <w:lang w:val="es-ES"/>
        </w:rPr>
        <w:t>encóderes</w:t>
      </w:r>
      <w:proofErr w:type="spellEnd"/>
      <w:r w:rsidRPr="005A0034">
        <w:rPr>
          <w:rFonts w:ascii="Arial" w:hAnsi="Arial"/>
          <w:lang w:val="es-ES"/>
        </w:rPr>
        <w:t xml:space="preserve"> absolutos abiertos respecto a los diseños cerrados son, entre otras, las reglas de anillo (angular) rotatorio con gran agujero pasante para facilitar el diseño de componentes de baja inercia y bajo perfil, sin el desgaste producido por el contacto de las piezas. Además, la facilidad de instalación de los </w:t>
      </w:r>
      <w:proofErr w:type="spellStart"/>
      <w:r w:rsidRPr="005A0034">
        <w:rPr>
          <w:rFonts w:ascii="Arial" w:hAnsi="Arial"/>
          <w:lang w:val="es-ES"/>
        </w:rPr>
        <w:t>encóderes</w:t>
      </w:r>
      <w:proofErr w:type="spellEnd"/>
      <w:r w:rsidRPr="005A0034">
        <w:rPr>
          <w:rFonts w:ascii="Arial" w:hAnsi="Arial"/>
          <w:lang w:val="es-ES"/>
        </w:rPr>
        <w:t xml:space="preserve"> RESOLUTE, debido a las generosas tolerancias de reglaje y los LED de configuración integrados, una excelente inmunidad al polvo y el sellado IP64, proporcionan un rendimiento excepcional, incluso en los ejes largos de las aplicaciones en la industria pesada.</w:t>
      </w:r>
    </w:p>
    <w:p w:rsidR="005A0034" w:rsidRPr="005A0034" w:rsidRDefault="005A0034" w:rsidP="005A0034">
      <w:pPr>
        <w:rPr>
          <w:rFonts w:ascii="Arial" w:hAnsi="Arial" w:cs="Arial"/>
          <w:lang w:val="es-ES"/>
        </w:rPr>
      </w:pPr>
    </w:p>
    <w:p w:rsidR="005A0034" w:rsidRDefault="005A0034" w:rsidP="005A0034">
      <w:pPr>
        <w:spacing w:before="120" w:after="120" w:line="336" w:lineRule="auto"/>
        <w:ind w:right="-556"/>
        <w:rPr>
          <w:rFonts w:ascii="Arial" w:hAnsi="Arial"/>
          <w:b/>
          <w:sz w:val="22"/>
          <w:szCs w:val="22"/>
          <w:lang w:val="es-ES"/>
        </w:rPr>
      </w:pPr>
    </w:p>
    <w:p w:rsidR="005A0034" w:rsidRPr="005A0034" w:rsidRDefault="005A0034" w:rsidP="005A0034">
      <w:pPr>
        <w:spacing w:before="120" w:after="120" w:line="336" w:lineRule="auto"/>
        <w:ind w:right="-556"/>
        <w:rPr>
          <w:rFonts w:ascii="Arial" w:hAnsi="Arial" w:cs="Arial"/>
          <w:b/>
          <w:sz w:val="22"/>
          <w:szCs w:val="22"/>
          <w:lang w:val="es-ES"/>
        </w:rPr>
      </w:pPr>
      <w:r w:rsidRPr="005A0034">
        <w:rPr>
          <w:rFonts w:ascii="Arial" w:hAnsi="Arial"/>
          <w:b/>
          <w:sz w:val="22"/>
          <w:szCs w:val="22"/>
          <w:lang w:val="es-ES"/>
        </w:rPr>
        <w:lastRenderedPageBreak/>
        <w:t xml:space="preserve">Acerca de los </w:t>
      </w:r>
      <w:proofErr w:type="spellStart"/>
      <w:r w:rsidRPr="005A0034">
        <w:rPr>
          <w:rFonts w:ascii="Arial" w:hAnsi="Arial"/>
          <w:b/>
          <w:sz w:val="22"/>
          <w:szCs w:val="22"/>
          <w:lang w:val="es-ES"/>
        </w:rPr>
        <w:t>encóderes</w:t>
      </w:r>
      <w:proofErr w:type="spellEnd"/>
      <w:r w:rsidRPr="005A0034">
        <w:rPr>
          <w:rFonts w:ascii="Arial" w:hAnsi="Arial"/>
          <w:b/>
          <w:sz w:val="22"/>
          <w:szCs w:val="22"/>
          <w:lang w:val="es-ES"/>
        </w:rPr>
        <w:t xml:space="preserve"> </w:t>
      </w:r>
      <w:proofErr w:type="spellStart"/>
      <w:r w:rsidRPr="005A0034">
        <w:rPr>
          <w:rFonts w:ascii="Arial" w:hAnsi="Arial"/>
          <w:b/>
          <w:sz w:val="22"/>
          <w:szCs w:val="22"/>
          <w:lang w:val="es-ES"/>
        </w:rPr>
        <w:t>TONiC</w:t>
      </w:r>
      <w:proofErr w:type="spellEnd"/>
    </w:p>
    <w:p w:rsidR="005A0034" w:rsidRPr="005A0034" w:rsidRDefault="005A0034" w:rsidP="005A0034">
      <w:pPr>
        <w:spacing w:line="336" w:lineRule="auto"/>
        <w:ind w:right="-554"/>
        <w:rPr>
          <w:rFonts w:ascii="Arial" w:hAnsi="Arial" w:cs="Arial"/>
          <w:lang w:val="es-ES"/>
        </w:rPr>
      </w:pPr>
      <w:r w:rsidRPr="005A0034">
        <w:rPr>
          <w:rFonts w:ascii="Arial" w:hAnsi="Arial"/>
          <w:lang w:val="es-ES"/>
        </w:rPr>
        <w:t xml:space="preserve">El </w:t>
      </w:r>
      <w:proofErr w:type="spellStart"/>
      <w:r w:rsidRPr="005A0034">
        <w:rPr>
          <w:rFonts w:ascii="Arial" w:hAnsi="Arial"/>
          <w:lang w:val="es-ES"/>
        </w:rPr>
        <w:t>encóder</w:t>
      </w:r>
      <w:proofErr w:type="spellEnd"/>
      <w:r w:rsidRPr="005A0034">
        <w:rPr>
          <w:rFonts w:ascii="Arial" w:hAnsi="Arial"/>
          <w:lang w:val="es-ES"/>
        </w:rPr>
        <w:t xml:space="preserve"> </w:t>
      </w:r>
      <w:proofErr w:type="spellStart"/>
      <w:r w:rsidRPr="005A0034">
        <w:rPr>
          <w:rFonts w:ascii="Arial" w:hAnsi="Arial"/>
          <w:lang w:val="es-ES"/>
        </w:rPr>
        <w:t>TONiC</w:t>
      </w:r>
      <w:proofErr w:type="spellEnd"/>
      <w:r w:rsidRPr="005A0034">
        <w:rPr>
          <w:rFonts w:ascii="Arial" w:hAnsi="Arial"/>
          <w:lang w:val="es-ES"/>
        </w:rPr>
        <w:t xml:space="preserve"> de Renishaw está diseñado especialmente para sistemas de movimiento lineal altamente dinámicos, que proporcionan más precisión, velocidad y fiabilidad en las aplicaciones industriales más exigentes.</w:t>
      </w:r>
    </w:p>
    <w:p w:rsidR="005A0034" w:rsidRPr="005A0034" w:rsidRDefault="005A0034" w:rsidP="005A0034">
      <w:pPr>
        <w:spacing w:line="336" w:lineRule="auto"/>
        <w:ind w:right="-554"/>
        <w:rPr>
          <w:rFonts w:ascii="Arial" w:hAnsi="Arial" w:cs="Arial"/>
          <w:lang w:val="es-ES"/>
        </w:rPr>
      </w:pPr>
    </w:p>
    <w:p w:rsidR="005A0034" w:rsidRPr="005A0034" w:rsidRDefault="005A0034" w:rsidP="005A0034">
      <w:pPr>
        <w:spacing w:line="336" w:lineRule="auto"/>
        <w:ind w:right="-554"/>
        <w:rPr>
          <w:rFonts w:ascii="Arial" w:hAnsi="Arial" w:cs="Arial"/>
          <w:lang w:val="es-ES"/>
        </w:rPr>
      </w:pPr>
      <w:r w:rsidRPr="005A0034">
        <w:rPr>
          <w:rFonts w:ascii="Arial" w:hAnsi="Arial"/>
          <w:lang w:val="es-ES"/>
        </w:rPr>
        <w:t xml:space="preserve">Las cabezas lectoras </w:t>
      </w:r>
      <w:proofErr w:type="spellStart"/>
      <w:r w:rsidRPr="005A0034">
        <w:rPr>
          <w:rFonts w:ascii="Arial" w:hAnsi="Arial"/>
          <w:lang w:val="es-ES"/>
        </w:rPr>
        <w:t>TONiC</w:t>
      </w:r>
      <w:proofErr w:type="spellEnd"/>
      <w:r w:rsidRPr="005A0034">
        <w:rPr>
          <w:rFonts w:ascii="Arial" w:hAnsi="Arial"/>
          <w:lang w:val="es-ES"/>
        </w:rPr>
        <w:t xml:space="preserve"> incorporan ópticas de filtrado de tercera generación de Renishaw, mejoradas mediante procesamiento dinámico de señales, incluido el Control automático de ganancia y Control de compensación automático. El resultado es un error de subdivisión (SDE) e interferencias (fluctuación) bajos, que proporcionan un control de velocidad más suave y mejoran el rendimiento de exploración y la estabilidad de posicionamiento.</w:t>
      </w:r>
    </w:p>
    <w:p w:rsidR="005A0034" w:rsidRPr="005A0034" w:rsidRDefault="005A0034" w:rsidP="005A0034">
      <w:pPr>
        <w:spacing w:line="336" w:lineRule="auto"/>
        <w:ind w:right="-554"/>
        <w:rPr>
          <w:rFonts w:ascii="Arial" w:hAnsi="Arial" w:cs="Arial"/>
          <w:lang w:val="es-ES"/>
        </w:rPr>
      </w:pPr>
    </w:p>
    <w:p w:rsidR="005A0034" w:rsidRPr="005A0034" w:rsidRDefault="005A0034" w:rsidP="005A0034">
      <w:pPr>
        <w:spacing w:line="276" w:lineRule="auto"/>
        <w:rPr>
          <w:rFonts w:ascii="Arial" w:hAnsi="Arial" w:cs="Arial"/>
          <w:lang w:val="es-ES"/>
        </w:rPr>
      </w:pPr>
      <w:r w:rsidRPr="005A0034">
        <w:rPr>
          <w:rFonts w:ascii="Arial" w:hAnsi="Arial"/>
          <w:lang w:val="es-ES"/>
        </w:rPr>
        <w:t xml:space="preserve">Para más información sobre </w:t>
      </w:r>
      <w:proofErr w:type="spellStart"/>
      <w:r w:rsidRPr="005A0034">
        <w:rPr>
          <w:rFonts w:ascii="Arial" w:hAnsi="Arial"/>
          <w:lang w:val="es-ES"/>
        </w:rPr>
        <w:t>encóderes</w:t>
      </w:r>
      <w:proofErr w:type="spellEnd"/>
      <w:r w:rsidRPr="005A0034">
        <w:rPr>
          <w:rFonts w:ascii="Arial" w:hAnsi="Arial"/>
          <w:lang w:val="es-ES"/>
        </w:rPr>
        <w:t xml:space="preserve"> con seguridad funcional, visite </w:t>
      </w:r>
      <w:hyperlink r:id="rId8" w:history="1">
        <w:r w:rsidRPr="005A0034">
          <w:rPr>
            <w:rFonts w:ascii="Arial" w:hAnsi="Arial"/>
            <w:color w:val="0000FF"/>
            <w:u w:val="single"/>
            <w:lang w:val="es-ES"/>
          </w:rPr>
          <w:t>www.Renish</w:t>
        </w:r>
        <w:r w:rsidRPr="005A0034">
          <w:rPr>
            <w:rFonts w:ascii="Arial" w:hAnsi="Arial"/>
            <w:color w:val="0000FF"/>
            <w:u w:val="single"/>
            <w:lang w:val="es-ES"/>
          </w:rPr>
          <w:t>a</w:t>
        </w:r>
        <w:r w:rsidRPr="005A0034">
          <w:rPr>
            <w:rFonts w:ascii="Arial" w:hAnsi="Arial"/>
            <w:color w:val="0000FF"/>
            <w:u w:val="single"/>
            <w:lang w:val="es-ES"/>
          </w:rPr>
          <w:t>w.es/FSencoders</w:t>
        </w:r>
      </w:hyperlink>
    </w:p>
    <w:p w:rsidR="005A0034" w:rsidRPr="005A0034" w:rsidRDefault="005A0034" w:rsidP="005A0034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5A0034" w:rsidRPr="005A0034" w:rsidRDefault="005A0034" w:rsidP="005A0034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5A0034" w:rsidRPr="005A0034" w:rsidRDefault="005A0034" w:rsidP="005A0034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  <w:r w:rsidRPr="005A0034">
        <w:rPr>
          <w:rFonts w:ascii="Arial" w:hAnsi="Arial"/>
          <w:sz w:val="22"/>
          <w:szCs w:val="22"/>
          <w:lang w:val="es-ES"/>
        </w:rPr>
        <w:t>-Fin-</w:t>
      </w:r>
      <w:bookmarkStart w:id="0" w:name="_GoBack"/>
      <w:bookmarkEnd w:id="0"/>
    </w:p>
    <w:p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003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7643FD8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5A0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es/FSencod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3481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2020-01-06T09:20:00Z</dcterms:created>
  <dcterms:modified xsi:type="dcterms:W3CDTF">2020-01-06T09:20:00Z</dcterms:modified>
</cp:coreProperties>
</file>